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5AC" w:rsidRDefault="002A65AC" w:rsidP="002A65A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Histoire politique, économique et sociale</w:t>
      </w:r>
    </w:p>
    <w:p w:rsidR="002A65AC" w:rsidRDefault="002A65AC" w:rsidP="002A65AC">
      <w:pPr>
        <w:jc w:val="center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Cours du professeur Jacques </w:t>
      </w:r>
      <w:r>
        <w:rPr>
          <w:rFonts w:ascii="Garamond" w:hAnsi="Garamond"/>
          <w:smallCaps/>
          <w:sz w:val="28"/>
          <w:szCs w:val="28"/>
        </w:rPr>
        <w:t>Bouineau</w:t>
      </w:r>
    </w:p>
    <w:p w:rsidR="002A65AC" w:rsidRDefault="002A65AC" w:rsidP="002A65A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</w:t>
      </w:r>
      <w:r w:rsidR="00EB3F9F">
        <w:rPr>
          <w:rFonts w:ascii="Garamond" w:hAnsi="Garamond"/>
          <w:sz w:val="28"/>
          <w:szCs w:val="28"/>
        </w:rPr>
        <w:t>20</w:t>
      </w:r>
      <w:r>
        <w:rPr>
          <w:rFonts w:ascii="Garamond" w:hAnsi="Garamond"/>
          <w:sz w:val="28"/>
          <w:szCs w:val="28"/>
        </w:rPr>
        <w:t>-202</w:t>
      </w:r>
      <w:r w:rsidR="00EB3F9F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 : la ville</w:t>
      </w:r>
      <w:r w:rsidR="00EB3F9F">
        <w:rPr>
          <w:rFonts w:ascii="Garamond" w:hAnsi="Garamond"/>
          <w:sz w:val="28"/>
          <w:szCs w:val="28"/>
        </w:rPr>
        <w:t xml:space="preserve"> antique</w:t>
      </w:r>
    </w:p>
    <w:p w:rsidR="002A65AC" w:rsidRDefault="002A65AC" w:rsidP="002A65AC">
      <w:pPr>
        <w:jc w:val="center"/>
        <w:rPr>
          <w:rFonts w:ascii="Garamond" w:hAnsi="Garamond"/>
          <w:sz w:val="28"/>
          <w:szCs w:val="28"/>
        </w:rPr>
      </w:pPr>
    </w:p>
    <w:p w:rsidR="002A65AC" w:rsidRPr="00775C21" w:rsidRDefault="002A65AC" w:rsidP="002A65AC">
      <w:pPr>
        <w:jc w:val="center"/>
        <w:rPr>
          <w:rFonts w:ascii="Garamond" w:hAnsi="Garamond"/>
          <w:sz w:val="28"/>
        </w:rPr>
      </w:pPr>
      <w:r w:rsidRPr="00775C21">
        <w:rPr>
          <w:rFonts w:ascii="Garamond" w:hAnsi="Garamond"/>
          <w:sz w:val="28"/>
        </w:rPr>
        <w:t>Plan indicatif</w:t>
      </w:r>
    </w:p>
    <w:p w:rsidR="002A65AC" w:rsidRDefault="002A65AC" w:rsidP="002A65AC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2A65AC" w:rsidRPr="00E319B1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Introduction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:rsidR="00EB3F9F" w:rsidRPr="00EB3F9F" w:rsidRDefault="001E355F" w:rsidP="002A65AC">
      <w:pPr>
        <w:jc w:val="both"/>
        <w:rPr>
          <w:rFonts w:ascii="Garamond" w:hAnsi="Garamond"/>
          <w:sz w:val="28"/>
          <w:szCs w:val="28"/>
          <w:u w:val="single"/>
        </w:rPr>
      </w:pPr>
      <w:r w:rsidRPr="00EB3F9F">
        <w:rPr>
          <w:rFonts w:ascii="Garamond" w:hAnsi="Garamond"/>
          <w:b/>
          <w:sz w:val="28"/>
          <w:szCs w:val="28"/>
          <w:u w:val="single"/>
        </w:rPr>
        <w:t>Chapitre I :</w:t>
      </w:r>
      <w:r w:rsidR="00EB3F9F" w:rsidRPr="00EB3F9F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2A65AC" w:rsidRPr="00EB3F9F">
        <w:rPr>
          <w:rFonts w:ascii="Garamond" w:hAnsi="Garamond"/>
          <w:b/>
          <w:sz w:val="28"/>
          <w:szCs w:val="28"/>
          <w:u w:val="single"/>
        </w:rPr>
        <w:t>Aspects de la ville primitive</w:t>
      </w:r>
      <w:r w:rsidR="002A65AC" w:rsidRPr="00EB3F9F">
        <w:rPr>
          <w:rFonts w:ascii="Garamond" w:hAnsi="Garamond"/>
          <w:sz w:val="28"/>
          <w:szCs w:val="28"/>
        </w:rPr>
        <w:tab/>
      </w:r>
    </w:p>
    <w:p w:rsidR="002A65AC" w:rsidRPr="00E319B1" w:rsidRDefault="00EB3F9F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>Section I : Généralités</w:t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</w:p>
    <w:p w:rsidR="00EB3F9F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Par. I : </w:t>
      </w:r>
      <w:r w:rsidR="00EB3F9F">
        <w:rPr>
          <w:rFonts w:ascii="Garamond" w:hAnsi="Garamond"/>
          <w:sz w:val="28"/>
          <w:szCs w:val="28"/>
        </w:rPr>
        <w:t>Du VII</w:t>
      </w:r>
      <w:r w:rsidRPr="00C16D38">
        <w:rPr>
          <w:rFonts w:ascii="Garamond" w:hAnsi="Garamond"/>
          <w:sz w:val="28"/>
          <w:szCs w:val="28"/>
          <w:vertAlign w:val="superscript"/>
        </w:rPr>
        <w:t>e</w:t>
      </w:r>
      <w:r w:rsidR="001E355F">
        <w:rPr>
          <w:rFonts w:ascii="Garamond" w:hAnsi="Garamond"/>
          <w:sz w:val="28"/>
          <w:szCs w:val="28"/>
        </w:rPr>
        <w:t xml:space="preserve"> </w:t>
      </w:r>
      <w:r w:rsidR="00EB3F9F">
        <w:rPr>
          <w:rFonts w:ascii="Garamond" w:hAnsi="Garamond"/>
          <w:sz w:val="28"/>
          <w:szCs w:val="28"/>
        </w:rPr>
        <w:t xml:space="preserve">au </w:t>
      </w:r>
      <w:proofErr w:type="spellStart"/>
      <w:r w:rsidR="00EB3F9F" w:rsidRPr="00EB3F9F">
        <w:rPr>
          <w:rFonts w:ascii="Garamond" w:hAnsi="Garamond"/>
          <w:sz w:val="28"/>
          <w:szCs w:val="28"/>
        </w:rPr>
        <w:t>III</w:t>
      </w:r>
      <w:r w:rsidR="00EB3F9F">
        <w:rPr>
          <w:rFonts w:ascii="Garamond" w:hAnsi="Garamond"/>
          <w:sz w:val="28"/>
          <w:szCs w:val="28"/>
          <w:vertAlign w:val="superscript"/>
        </w:rPr>
        <w:t>é</w:t>
      </w:r>
      <w:proofErr w:type="spellEnd"/>
      <w:r w:rsidR="00EB3F9F">
        <w:rPr>
          <w:rFonts w:ascii="Garamond" w:hAnsi="Garamond"/>
          <w:sz w:val="28"/>
          <w:szCs w:val="28"/>
        </w:rPr>
        <w:t xml:space="preserve"> </w:t>
      </w:r>
      <w:r w:rsidR="001E355F" w:rsidRPr="00EB3F9F">
        <w:rPr>
          <w:rFonts w:ascii="Garamond" w:hAnsi="Garamond"/>
          <w:sz w:val="28"/>
          <w:szCs w:val="28"/>
        </w:rPr>
        <w:t>millénaire</w:t>
      </w:r>
      <w:r w:rsidR="001E355F">
        <w:rPr>
          <w:rFonts w:ascii="Garamond" w:hAnsi="Garamond"/>
          <w:sz w:val="28"/>
          <w:szCs w:val="28"/>
        </w:rPr>
        <w:t xml:space="preserve"> av. </w:t>
      </w:r>
      <w:proofErr w:type="spellStart"/>
      <w:r w:rsidR="001E355F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>.</w:t>
      </w:r>
      <w:r w:rsidR="001E355F">
        <w:rPr>
          <w:rFonts w:ascii="Garamond" w:hAnsi="Garamond"/>
          <w:sz w:val="28"/>
          <w:szCs w:val="28"/>
        </w:rPr>
        <w:t>è</w:t>
      </w:r>
      <w:proofErr w:type="spellEnd"/>
      <w:r w:rsidR="001E355F">
        <w:rPr>
          <w:rFonts w:ascii="Garamond" w:hAnsi="Garamond"/>
          <w:sz w:val="28"/>
          <w:szCs w:val="28"/>
        </w:rPr>
        <w:t>.</w:t>
      </w:r>
    </w:p>
    <w:p w:rsidR="002A65AC" w:rsidRDefault="00EB3F9F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Par. II : Deux exemples</w:t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Jéricho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Byblos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Pr="00EB3F9F" w:rsidRDefault="002A65AC" w:rsidP="002A65AC">
      <w:pPr>
        <w:jc w:val="both"/>
        <w:rPr>
          <w:rFonts w:ascii="Garamond" w:hAnsi="Garamond"/>
          <w:sz w:val="28"/>
          <w:szCs w:val="28"/>
        </w:rPr>
      </w:pPr>
      <w:r w:rsidRPr="00EB3F9F">
        <w:rPr>
          <w:rFonts w:ascii="Garamond" w:hAnsi="Garamond"/>
          <w:b/>
          <w:bCs/>
          <w:sz w:val="28"/>
          <w:szCs w:val="28"/>
        </w:rPr>
        <w:tab/>
      </w:r>
      <w:r w:rsidR="00EB3F9F" w:rsidRPr="00EB3F9F">
        <w:rPr>
          <w:rFonts w:ascii="Garamond" w:hAnsi="Garamond"/>
          <w:b/>
          <w:bCs/>
          <w:sz w:val="28"/>
          <w:szCs w:val="28"/>
        </w:rPr>
        <w:t xml:space="preserve">Section </w:t>
      </w:r>
      <w:r w:rsidRPr="00EB3F9F">
        <w:rPr>
          <w:rFonts w:ascii="Garamond" w:hAnsi="Garamond"/>
          <w:b/>
          <w:bCs/>
          <w:sz w:val="28"/>
          <w:szCs w:val="28"/>
        </w:rPr>
        <w:t xml:space="preserve">II : </w:t>
      </w:r>
      <w:r w:rsidR="00EB3F9F" w:rsidRPr="00EB3F9F">
        <w:rPr>
          <w:rFonts w:ascii="Garamond" w:hAnsi="Garamond"/>
          <w:b/>
          <w:bCs/>
          <w:sz w:val="28"/>
          <w:szCs w:val="28"/>
        </w:rPr>
        <w:t>É</w:t>
      </w:r>
      <w:r w:rsidRPr="00EB3F9F">
        <w:rPr>
          <w:rFonts w:ascii="Garamond" w:hAnsi="Garamond"/>
          <w:b/>
          <w:bCs/>
          <w:sz w:val="28"/>
          <w:szCs w:val="28"/>
        </w:rPr>
        <w:t>gypte</w:t>
      </w:r>
      <w:r w:rsidRPr="00EB3F9F">
        <w:rPr>
          <w:rFonts w:ascii="Garamond" w:hAnsi="Garamond"/>
          <w:b/>
          <w:bCs/>
          <w:sz w:val="28"/>
          <w:szCs w:val="28"/>
        </w:rPr>
        <w:tab/>
      </w:r>
      <w:r w:rsidRPr="00EB3F9F">
        <w:rPr>
          <w:rFonts w:ascii="Garamond" w:hAnsi="Garamond"/>
          <w:b/>
          <w:bCs/>
          <w:sz w:val="28"/>
          <w:szCs w:val="28"/>
        </w:rPr>
        <w:tab/>
      </w:r>
      <w:r w:rsidRPr="00EB3F9F">
        <w:rPr>
          <w:rFonts w:ascii="Garamond" w:hAnsi="Garamond"/>
          <w:b/>
          <w:bCs/>
          <w:sz w:val="28"/>
          <w:szCs w:val="28"/>
        </w:rPr>
        <w:tab/>
      </w:r>
      <w:r w:rsidRPr="00EB3F9F">
        <w:rPr>
          <w:rFonts w:ascii="Garamond" w:hAnsi="Garamond"/>
          <w:sz w:val="28"/>
          <w:szCs w:val="28"/>
        </w:rPr>
        <w:tab/>
      </w:r>
      <w:r w:rsidRPr="00EB3F9F">
        <w:rPr>
          <w:rFonts w:ascii="Garamond" w:hAnsi="Garamond"/>
          <w:sz w:val="28"/>
          <w:szCs w:val="28"/>
        </w:rPr>
        <w:tab/>
      </w:r>
      <w:r w:rsidRPr="00EB3F9F">
        <w:rPr>
          <w:rFonts w:ascii="Garamond" w:hAnsi="Garamond"/>
          <w:sz w:val="28"/>
          <w:szCs w:val="28"/>
        </w:rPr>
        <w:tab/>
      </w:r>
      <w:r w:rsidRPr="00EB3F9F">
        <w:rPr>
          <w:rFonts w:ascii="Garamond" w:hAnsi="Garamond"/>
          <w:sz w:val="28"/>
          <w:szCs w:val="28"/>
        </w:rPr>
        <w:tab/>
      </w:r>
      <w:r w:rsidRPr="00EB3F9F"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 xml:space="preserve">Par. I : </w:t>
      </w:r>
      <w:r>
        <w:rPr>
          <w:rFonts w:ascii="Garamond" w:hAnsi="Garamond"/>
          <w:sz w:val="28"/>
          <w:szCs w:val="28"/>
        </w:rPr>
        <w:t>Présentation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Système politique et social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Commerce et politique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 </w:t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Par. II :</w:t>
      </w:r>
      <w:r>
        <w:rPr>
          <w:rFonts w:ascii="Garamond" w:hAnsi="Garamond"/>
          <w:sz w:val="28"/>
          <w:szCs w:val="28"/>
        </w:rPr>
        <w:t xml:space="preserve"> Fonctions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Ville des vivants et ville des morts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Rôle administratif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</w:p>
    <w:p w:rsidR="002A65AC" w:rsidRPr="00EB3F9F" w:rsidRDefault="00EB3F9F" w:rsidP="002A65AC">
      <w:pPr>
        <w:jc w:val="both"/>
        <w:rPr>
          <w:rFonts w:ascii="Garamond" w:hAnsi="Garamond"/>
          <w:sz w:val="28"/>
          <w:szCs w:val="28"/>
        </w:rPr>
      </w:pPr>
      <w:r w:rsidRPr="00EB3F9F">
        <w:rPr>
          <w:rFonts w:ascii="Garamond" w:hAnsi="Garamond"/>
          <w:b/>
          <w:bCs/>
          <w:sz w:val="28"/>
          <w:szCs w:val="28"/>
          <w:u w:val="single"/>
        </w:rPr>
        <w:t>Chapitre</w:t>
      </w:r>
      <w:r w:rsidR="002A65AC" w:rsidRPr="00EB3F9F">
        <w:rPr>
          <w:rFonts w:ascii="Garamond" w:hAnsi="Garamond"/>
          <w:b/>
          <w:bCs/>
          <w:sz w:val="28"/>
          <w:szCs w:val="28"/>
          <w:u w:val="single"/>
        </w:rPr>
        <w:t xml:space="preserve"> II : Grèce</w:t>
      </w:r>
      <w:r w:rsidR="002A65AC" w:rsidRPr="00EB3F9F">
        <w:rPr>
          <w:rFonts w:ascii="Garamond" w:hAnsi="Garamond"/>
          <w:sz w:val="28"/>
          <w:szCs w:val="28"/>
        </w:rPr>
        <w:tab/>
      </w:r>
      <w:r w:rsidR="002A65AC" w:rsidRPr="00EB3F9F">
        <w:rPr>
          <w:rFonts w:ascii="Garamond" w:hAnsi="Garamond"/>
          <w:sz w:val="28"/>
          <w:szCs w:val="28"/>
        </w:rPr>
        <w:tab/>
      </w:r>
      <w:r w:rsidR="002A65AC" w:rsidRPr="00EB3F9F">
        <w:rPr>
          <w:rFonts w:ascii="Garamond" w:hAnsi="Garamond"/>
          <w:sz w:val="28"/>
          <w:szCs w:val="28"/>
        </w:rPr>
        <w:tab/>
      </w:r>
      <w:r w:rsidR="002A65AC" w:rsidRPr="00EB3F9F">
        <w:rPr>
          <w:rFonts w:ascii="Garamond" w:hAnsi="Garamond"/>
          <w:sz w:val="28"/>
          <w:szCs w:val="28"/>
        </w:rPr>
        <w:tab/>
      </w:r>
      <w:r w:rsidR="002A65AC" w:rsidRPr="00EB3F9F">
        <w:rPr>
          <w:rFonts w:ascii="Garamond" w:hAnsi="Garamond"/>
          <w:sz w:val="28"/>
          <w:szCs w:val="28"/>
        </w:rPr>
        <w:tab/>
      </w:r>
      <w:r w:rsidR="002A65AC" w:rsidRPr="00EB3F9F">
        <w:rPr>
          <w:rFonts w:ascii="Garamond" w:hAnsi="Garamond"/>
          <w:sz w:val="28"/>
          <w:szCs w:val="28"/>
        </w:rPr>
        <w:tab/>
      </w:r>
      <w:r w:rsidR="002A65AC" w:rsidRPr="00EB3F9F">
        <w:rPr>
          <w:rFonts w:ascii="Garamond" w:hAnsi="Garamond"/>
          <w:sz w:val="28"/>
          <w:szCs w:val="28"/>
        </w:rPr>
        <w:tab/>
      </w:r>
      <w:r w:rsidR="002A65AC" w:rsidRPr="00EB3F9F">
        <w:rPr>
          <w:rFonts w:ascii="Garamond" w:hAnsi="Garamond"/>
          <w:sz w:val="28"/>
          <w:szCs w:val="28"/>
        </w:rPr>
        <w:tab/>
      </w:r>
      <w:r w:rsidR="002A65AC" w:rsidRPr="00EB3F9F">
        <w:rPr>
          <w:rFonts w:ascii="Garamond" w:hAnsi="Garamond"/>
          <w:sz w:val="28"/>
          <w:szCs w:val="28"/>
        </w:rPr>
        <w:tab/>
      </w:r>
    </w:p>
    <w:p w:rsidR="002A65AC" w:rsidRPr="00EB3F9F" w:rsidRDefault="002A65AC" w:rsidP="002A65AC">
      <w:pPr>
        <w:jc w:val="both"/>
        <w:rPr>
          <w:rFonts w:ascii="Garamond" w:hAnsi="Garamond"/>
          <w:b/>
          <w:sz w:val="28"/>
          <w:szCs w:val="28"/>
        </w:rPr>
      </w:pPr>
      <w:r w:rsidRPr="00EB3F9F">
        <w:rPr>
          <w:rFonts w:ascii="Garamond" w:hAnsi="Garamond"/>
          <w:b/>
          <w:sz w:val="28"/>
          <w:szCs w:val="28"/>
        </w:rPr>
        <w:tab/>
      </w:r>
      <w:r w:rsidR="00EB3F9F" w:rsidRPr="00EB3F9F">
        <w:rPr>
          <w:rFonts w:ascii="Garamond" w:hAnsi="Garamond"/>
          <w:b/>
          <w:sz w:val="28"/>
          <w:szCs w:val="28"/>
        </w:rPr>
        <w:t>Section</w:t>
      </w:r>
      <w:r w:rsidRPr="00EB3F9F">
        <w:rPr>
          <w:rFonts w:ascii="Garamond" w:hAnsi="Garamond"/>
          <w:b/>
          <w:sz w:val="28"/>
          <w:szCs w:val="28"/>
        </w:rPr>
        <w:t xml:space="preserve"> I : Crète</w:t>
      </w:r>
      <w:r w:rsidRPr="00EB3F9F">
        <w:rPr>
          <w:rFonts w:ascii="Garamond" w:hAnsi="Garamond"/>
          <w:b/>
          <w:sz w:val="28"/>
          <w:szCs w:val="28"/>
        </w:rPr>
        <w:tab/>
      </w:r>
      <w:r w:rsidRPr="00EB3F9F">
        <w:rPr>
          <w:rFonts w:ascii="Garamond" w:hAnsi="Garamond"/>
          <w:b/>
          <w:sz w:val="28"/>
          <w:szCs w:val="28"/>
        </w:rPr>
        <w:tab/>
      </w:r>
      <w:r w:rsidRPr="00EB3F9F">
        <w:rPr>
          <w:rFonts w:ascii="Garamond" w:hAnsi="Garamond"/>
          <w:b/>
          <w:sz w:val="28"/>
          <w:szCs w:val="28"/>
        </w:rPr>
        <w:tab/>
      </w:r>
      <w:r w:rsidRPr="00EB3F9F">
        <w:rPr>
          <w:rFonts w:ascii="Garamond" w:hAnsi="Garamond"/>
          <w:b/>
          <w:sz w:val="28"/>
          <w:szCs w:val="28"/>
        </w:rPr>
        <w:tab/>
      </w:r>
      <w:r w:rsidRPr="00EB3F9F">
        <w:rPr>
          <w:rFonts w:ascii="Garamond" w:hAnsi="Garamond"/>
          <w:b/>
          <w:sz w:val="28"/>
          <w:szCs w:val="28"/>
        </w:rPr>
        <w:tab/>
      </w:r>
      <w:r w:rsidRPr="00EB3F9F">
        <w:rPr>
          <w:rFonts w:ascii="Garamond" w:hAnsi="Garamond"/>
          <w:b/>
          <w:sz w:val="28"/>
          <w:szCs w:val="28"/>
        </w:rPr>
        <w:tab/>
      </w:r>
      <w:r w:rsidRPr="00EB3F9F">
        <w:rPr>
          <w:rFonts w:ascii="Garamond" w:hAnsi="Garamond"/>
          <w:b/>
          <w:sz w:val="28"/>
          <w:szCs w:val="28"/>
        </w:rPr>
        <w:tab/>
      </w:r>
      <w:r w:rsidRPr="00EB3F9F">
        <w:rPr>
          <w:rFonts w:ascii="Garamond" w:hAnsi="Garamond"/>
          <w:b/>
          <w:sz w:val="28"/>
          <w:szCs w:val="28"/>
        </w:rPr>
        <w:tab/>
      </w:r>
      <w:r w:rsidRPr="00EB3F9F">
        <w:rPr>
          <w:rFonts w:ascii="Garamond" w:hAnsi="Garamond"/>
          <w:b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Par. I :</w:t>
      </w:r>
      <w:r>
        <w:rPr>
          <w:rFonts w:ascii="Garamond" w:hAnsi="Garamond"/>
          <w:sz w:val="28"/>
          <w:szCs w:val="28"/>
        </w:rPr>
        <w:t xml:space="preserve"> Institutions crétoises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EB3F9F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Nature de la royauté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Auxiliaires de la royauté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Par. II :</w:t>
      </w:r>
      <w:r>
        <w:rPr>
          <w:rFonts w:ascii="Garamond" w:hAnsi="Garamond"/>
          <w:sz w:val="28"/>
          <w:szCs w:val="28"/>
        </w:rPr>
        <w:t xml:space="preserve"> Urbanisation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Urbanisme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Vie matérielle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Pr="00644670" w:rsidRDefault="002A65AC" w:rsidP="002A65AC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644670" w:rsidRPr="00644670">
        <w:rPr>
          <w:rFonts w:ascii="Garamond" w:hAnsi="Garamond"/>
          <w:b/>
          <w:bCs/>
          <w:sz w:val="28"/>
          <w:szCs w:val="28"/>
        </w:rPr>
        <w:t>Section</w:t>
      </w:r>
      <w:r w:rsidRPr="00644670">
        <w:rPr>
          <w:rFonts w:ascii="Garamond" w:hAnsi="Garamond"/>
          <w:b/>
          <w:bCs/>
          <w:sz w:val="28"/>
          <w:szCs w:val="28"/>
        </w:rPr>
        <w:t xml:space="preserve"> II : Athènes</w:t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Par. I :</w:t>
      </w:r>
      <w:r>
        <w:rPr>
          <w:rFonts w:ascii="Garamond" w:hAnsi="Garamond"/>
          <w:sz w:val="28"/>
          <w:szCs w:val="28"/>
        </w:rPr>
        <w:t xml:space="preserve"> Présentation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Généralités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Formes de la cité grecque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a)</w:t>
      </w:r>
      <w:r>
        <w:rPr>
          <w:rFonts w:ascii="Garamond" w:hAnsi="Garamond"/>
          <w:sz w:val="28"/>
          <w:szCs w:val="28"/>
        </w:rPr>
        <w:t xml:space="preserve"> </w:t>
      </w:r>
      <w:r w:rsidR="00644670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volution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a</w:t>
      </w:r>
      <w:r w:rsidR="0064467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Jusqu’à la fin du </w:t>
      </w:r>
      <w:r>
        <w:rPr>
          <w:rFonts w:ascii="Garamond" w:hAnsi="Garamond"/>
          <w:smallCaps/>
          <w:sz w:val="28"/>
          <w:szCs w:val="28"/>
        </w:rPr>
        <w:t>vi</w:t>
      </w:r>
      <w:r w:rsidRPr="003C47D2">
        <w:rPr>
          <w:rFonts w:ascii="Garamond" w:hAnsi="Garamond"/>
          <w:sz w:val="28"/>
          <w:szCs w:val="28"/>
          <w:vertAlign w:val="superscript"/>
        </w:rPr>
        <w:t>e</w:t>
      </w:r>
      <w:r>
        <w:rPr>
          <w:rFonts w:ascii="Garamond" w:hAnsi="Garamond"/>
          <w:sz w:val="28"/>
          <w:szCs w:val="28"/>
          <w:vertAlign w:val="superscript"/>
        </w:rPr>
        <w:t xml:space="preserve"> </w:t>
      </w:r>
      <w:r>
        <w:rPr>
          <w:rFonts w:ascii="Garamond" w:hAnsi="Garamond"/>
          <w:sz w:val="28"/>
          <w:szCs w:val="28"/>
        </w:rPr>
        <w:t>siècle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b</w:t>
      </w:r>
      <w:r w:rsidR="0064467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mallCaps/>
          <w:sz w:val="28"/>
          <w:szCs w:val="28"/>
        </w:rPr>
        <w:t>v</w:t>
      </w:r>
      <w:r w:rsidRPr="003C47D2">
        <w:rPr>
          <w:rFonts w:ascii="Garamond" w:hAnsi="Garamond"/>
          <w:sz w:val="28"/>
          <w:szCs w:val="28"/>
          <w:vertAlign w:val="superscript"/>
        </w:rPr>
        <w:t>e</w:t>
      </w:r>
      <w:proofErr w:type="spellEnd"/>
      <w:r>
        <w:rPr>
          <w:rFonts w:ascii="Garamond" w:hAnsi="Garamond"/>
          <w:sz w:val="28"/>
          <w:szCs w:val="28"/>
        </w:rPr>
        <w:t xml:space="preserve"> et </w:t>
      </w:r>
      <w:r>
        <w:rPr>
          <w:rFonts w:ascii="Garamond" w:hAnsi="Garamond"/>
          <w:smallCaps/>
          <w:sz w:val="28"/>
          <w:szCs w:val="28"/>
        </w:rPr>
        <w:t>iv</w:t>
      </w:r>
      <w:r w:rsidRPr="003C47D2">
        <w:rPr>
          <w:rFonts w:ascii="Garamond" w:hAnsi="Garamond"/>
          <w:sz w:val="28"/>
          <w:szCs w:val="28"/>
          <w:vertAlign w:val="superscript"/>
        </w:rPr>
        <w:t>e</w:t>
      </w:r>
      <w:r>
        <w:rPr>
          <w:rFonts w:ascii="Garamond" w:hAnsi="Garamond"/>
          <w:sz w:val="28"/>
          <w:szCs w:val="28"/>
        </w:rPr>
        <w:t xml:space="preserve"> siècles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b)</w:t>
      </w:r>
      <w:r>
        <w:rPr>
          <w:rFonts w:ascii="Garamond" w:hAnsi="Garamond"/>
          <w:sz w:val="28"/>
          <w:szCs w:val="28"/>
        </w:rPr>
        <w:t xml:space="preserve"> Acropole et agora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a</w:t>
      </w:r>
      <w:r w:rsidR="0064467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Ordonnancement monumental</w:t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b</w:t>
      </w:r>
      <w:r w:rsidR="0064467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Cadre de vie individuel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Par. II :</w:t>
      </w:r>
      <w:r>
        <w:rPr>
          <w:rFonts w:ascii="Garamond" w:hAnsi="Garamond"/>
          <w:sz w:val="28"/>
          <w:szCs w:val="28"/>
        </w:rPr>
        <w:t xml:space="preserve"> Aspects politiques et juridiques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EB3F9F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Concept idéologique de la cité</w:t>
      </w:r>
      <w:r>
        <w:rPr>
          <w:rFonts w:ascii="Garamond" w:hAnsi="Garamond"/>
          <w:sz w:val="28"/>
          <w:szCs w:val="28"/>
        </w:rPr>
        <w:tab/>
      </w:r>
    </w:p>
    <w:p w:rsidR="00EB3F9F" w:rsidRDefault="00EB3F9F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a)</w:t>
      </w:r>
      <w:r>
        <w:rPr>
          <w:rFonts w:ascii="Garamond" w:hAnsi="Garamond"/>
          <w:sz w:val="28"/>
          <w:szCs w:val="28"/>
        </w:rPr>
        <w:t xml:space="preserve"> Le citoyen grec</w:t>
      </w:r>
    </w:p>
    <w:p w:rsidR="002A65AC" w:rsidRDefault="00EB3F9F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b)</w:t>
      </w:r>
      <w:r>
        <w:rPr>
          <w:rFonts w:ascii="Garamond" w:hAnsi="Garamond"/>
          <w:sz w:val="28"/>
          <w:szCs w:val="28"/>
        </w:rPr>
        <w:t xml:space="preserve"> Rôle des philosophes</w:t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Réalité juridique d’Athènes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3A4061" w:rsidRDefault="003A4061" w:rsidP="003A406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a)</w:t>
      </w:r>
      <w:r>
        <w:rPr>
          <w:rFonts w:ascii="Garamond" w:hAnsi="Garamond"/>
          <w:sz w:val="28"/>
          <w:szCs w:val="28"/>
        </w:rPr>
        <w:t xml:space="preserve"> Vie institutionnelle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b)</w:t>
      </w:r>
      <w:r>
        <w:rPr>
          <w:rFonts w:ascii="Garamond" w:hAnsi="Garamond"/>
          <w:sz w:val="28"/>
          <w:szCs w:val="28"/>
        </w:rPr>
        <w:t xml:space="preserve"> Règlements d’urbanisme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Pr="00644670" w:rsidRDefault="002A65AC" w:rsidP="002A65AC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644670" w:rsidRPr="00644670">
        <w:rPr>
          <w:rFonts w:ascii="Garamond" w:hAnsi="Garamond"/>
          <w:b/>
          <w:bCs/>
          <w:sz w:val="28"/>
          <w:szCs w:val="28"/>
        </w:rPr>
        <w:t>Section</w:t>
      </w:r>
      <w:r w:rsidRPr="00644670">
        <w:rPr>
          <w:rFonts w:ascii="Garamond" w:hAnsi="Garamond"/>
          <w:b/>
          <w:bCs/>
          <w:sz w:val="28"/>
          <w:szCs w:val="28"/>
        </w:rPr>
        <w:t xml:space="preserve"> III : Villes hellénistiques</w:t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Par. I :</w:t>
      </w:r>
      <w:r>
        <w:rPr>
          <w:rFonts w:ascii="Garamond" w:hAnsi="Garamond"/>
          <w:sz w:val="28"/>
          <w:szCs w:val="28"/>
        </w:rPr>
        <w:t xml:space="preserve"> Architecture majestueuse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Par. II :</w:t>
      </w:r>
      <w:r>
        <w:rPr>
          <w:rFonts w:ascii="Garamond" w:hAnsi="Garamond"/>
          <w:sz w:val="28"/>
          <w:szCs w:val="28"/>
        </w:rPr>
        <w:t xml:space="preserve"> Fissures internes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</w:p>
    <w:p w:rsidR="002A65AC" w:rsidRPr="00644670" w:rsidRDefault="00644670" w:rsidP="002A65AC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644670">
        <w:rPr>
          <w:rFonts w:ascii="Garamond" w:hAnsi="Garamond"/>
          <w:b/>
          <w:bCs/>
          <w:sz w:val="28"/>
          <w:szCs w:val="28"/>
          <w:u w:val="single"/>
        </w:rPr>
        <w:t>Chapitre</w:t>
      </w:r>
      <w:r w:rsidR="002A65AC" w:rsidRPr="00644670">
        <w:rPr>
          <w:rFonts w:ascii="Garamond" w:hAnsi="Garamond"/>
          <w:b/>
          <w:bCs/>
          <w:sz w:val="28"/>
          <w:szCs w:val="28"/>
          <w:u w:val="single"/>
        </w:rPr>
        <w:t xml:space="preserve"> III : Rome</w:t>
      </w:r>
      <w:r w:rsidR="002A65AC" w:rsidRPr="00644670">
        <w:rPr>
          <w:rFonts w:ascii="Garamond" w:hAnsi="Garamond"/>
          <w:b/>
          <w:bCs/>
          <w:sz w:val="28"/>
          <w:szCs w:val="28"/>
        </w:rPr>
        <w:tab/>
      </w:r>
      <w:r w:rsidR="002A65AC" w:rsidRPr="00644670">
        <w:rPr>
          <w:rFonts w:ascii="Garamond" w:hAnsi="Garamond"/>
          <w:b/>
          <w:bCs/>
          <w:sz w:val="28"/>
          <w:szCs w:val="28"/>
        </w:rPr>
        <w:tab/>
      </w:r>
      <w:r w:rsidR="002A65AC" w:rsidRPr="00644670">
        <w:rPr>
          <w:rFonts w:ascii="Garamond" w:hAnsi="Garamond"/>
          <w:b/>
          <w:bCs/>
          <w:sz w:val="28"/>
          <w:szCs w:val="28"/>
        </w:rPr>
        <w:tab/>
      </w:r>
      <w:r w:rsidR="002A65AC" w:rsidRPr="00644670">
        <w:rPr>
          <w:rFonts w:ascii="Garamond" w:hAnsi="Garamond"/>
          <w:b/>
          <w:bCs/>
          <w:sz w:val="28"/>
          <w:szCs w:val="28"/>
        </w:rPr>
        <w:tab/>
      </w:r>
      <w:r w:rsidR="002A65AC" w:rsidRPr="00644670">
        <w:rPr>
          <w:rFonts w:ascii="Garamond" w:hAnsi="Garamond"/>
          <w:b/>
          <w:bCs/>
          <w:sz w:val="28"/>
          <w:szCs w:val="28"/>
        </w:rPr>
        <w:tab/>
      </w:r>
      <w:r w:rsidR="002A65AC" w:rsidRPr="00644670">
        <w:rPr>
          <w:rFonts w:ascii="Garamond" w:hAnsi="Garamond"/>
          <w:b/>
          <w:bCs/>
          <w:sz w:val="28"/>
          <w:szCs w:val="28"/>
        </w:rPr>
        <w:tab/>
      </w:r>
      <w:r w:rsidR="002A65AC" w:rsidRPr="00644670">
        <w:rPr>
          <w:rFonts w:ascii="Garamond" w:hAnsi="Garamond"/>
          <w:b/>
          <w:bCs/>
          <w:sz w:val="28"/>
          <w:szCs w:val="28"/>
        </w:rPr>
        <w:tab/>
      </w:r>
      <w:r w:rsidR="002A65AC" w:rsidRPr="00644670">
        <w:rPr>
          <w:rFonts w:ascii="Garamond" w:hAnsi="Garamond"/>
          <w:b/>
          <w:bCs/>
          <w:sz w:val="28"/>
          <w:szCs w:val="28"/>
        </w:rPr>
        <w:tab/>
      </w:r>
    </w:p>
    <w:p w:rsidR="002A65AC" w:rsidRPr="00644670" w:rsidRDefault="002A65AC" w:rsidP="002A65AC">
      <w:pPr>
        <w:jc w:val="both"/>
        <w:rPr>
          <w:rFonts w:ascii="Garamond" w:hAnsi="Garamond"/>
          <w:b/>
          <w:bCs/>
          <w:sz w:val="28"/>
          <w:szCs w:val="28"/>
        </w:rPr>
      </w:pPr>
      <w:r w:rsidRPr="000C4E03">
        <w:rPr>
          <w:rFonts w:ascii="Garamond" w:hAnsi="Garamond"/>
          <w:sz w:val="28"/>
          <w:szCs w:val="28"/>
        </w:rPr>
        <w:tab/>
      </w:r>
      <w:r w:rsidR="00644670" w:rsidRPr="00644670">
        <w:rPr>
          <w:rFonts w:ascii="Garamond" w:hAnsi="Garamond"/>
          <w:b/>
          <w:bCs/>
          <w:sz w:val="28"/>
          <w:szCs w:val="28"/>
        </w:rPr>
        <w:t>Section</w:t>
      </w:r>
      <w:r w:rsidRPr="00644670">
        <w:rPr>
          <w:rFonts w:ascii="Garamond" w:hAnsi="Garamond"/>
          <w:b/>
          <w:bCs/>
          <w:sz w:val="28"/>
          <w:szCs w:val="28"/>
        </w:rPr>
        <w:t xml:space="preserve"> I : Urbanisme romain</w:t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Par. I :</w:t>
      </w:r>
      <w:r>
        <w:rPr>
          <w:rFonts w:ascii="Garamond" w:hAnsi="Garamond"/>
          <w:sz w:val="28"/>
          <w:szCs w:val="28"/>
        </w:rPr>
        <w:t xml:space="preserve"> Principes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Impératifs militaires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Rites religieux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a)</w:t>
      </w:r>
      <w:r>
        <w:rPr>
          <w:rFonts w:ascii="Garamond" w:hAnsi="Garamond"/>
          <w:sz w:val="28"/>
          <w:szCs w:val="28"/>
        </w:rPr>
        <w:t xml:space="preserve"> Prise des auspices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b)</w:t>
      </w:r>
      <w:r>
        <w:rPr>
          <w:rFonts w:ascii="Garamond" w:hAnsi="Garamond"/>
          <w:sz w:val="28"/>
          <w:szCs w:val="28"/>
        </w:rPr>
        <w:t xml:space="preserve"> Offrandes aux morts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c)</w:t>
      </w:r>
      <w:r>
        <w:rPr>
          <w:rFonts w:ascii="Garamond" w:hAnsi="Garamond"/>
          <w:sz w:val="28"/>
          <w:szCs w:val="28"/>
        </w:rPr>
        <w:t xml:space="preserve"> Triade capitoline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C/</w:t>
      </w:r>
      <w:r>
        <w:rPr>
          <w:rFonts w:ascii="Garamond" w:hAnsi="Garamond"/>
          <w:sz w:val="28"/>
          <w:szCs w:val="28"/>
        </w:rPr>
        <w:t xml:space="preserve"> Héritage étrusque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631D33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Par. II :</w:t>
      </w:r>
      <w:r w:rsidR="002A65AC">
        <w:rPr>
          <w:rFonts w:ascii="Garamond" w:hAnsi="Garamond"/>
          <w:sz w:val="28"/>
          <w:szCs w:val="28"/>
        </w:rPr>
        <w:t xml:space="preserve"> Développement urbain de Rome</w:t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Visages de Rome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Aménagements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Pr="00644670" w:rsidRDefault="002A65AC" w:rsidP="002A65AC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 w:rsidR="00644670" w:rsidRPr="00644670">
        <w:rPr>
          <w:rFonts w:ascii="Garamond" w:hAnsi="Garamond"/>
          <w:b/>
          <w:bCs/>
          <w:sz w:val="28"/>
          <w:szCs w:val="28"/>
        </w:rPr>
        <w:t>Section II</w:t>
      </w:r>
      <w:r w:rsidRPr="00644670">
        <w:rPr>
          <w:rFonts w:ascii="Garamond" w:hAnsi="Garamond"/>
          <w:b/>
          <w:bCs/>
          <w:sz w:val="28"/>
          <w:szCs w:val="28"/>
        </w:rPr>
        <w:t> : Cadre institutionnel</w:t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  <w:r w:rsidRPr="00644670">
        <w:rPr>
          <w:rFonts w:ascii="Garamond" w:hAnsi="Garamond"/>
          <w:b/>
          <w:bCs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Par. I :</w:t>
      </w:r>
      <w:r>
        <w:rPr>
          <w:rFonts w:ascii="Garamond" w:hAnsi="Garamond"/>
          <w:sz w:val="28"/>
          <w:szCs w:val="28"/>
        </w:rPr>
        <w:t xml:space="preserve"> Système politique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Royauté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a)</w:t>
      </w:r>
      <w:r>
        <w:rPr>
          <w:rFonts w:ascii="Garamond" w:hAnsi="Garamond"/>
          <w:sz w:val="28"/>
          <w:szCs w:val="28"/>
        </w:rPr>
        <w:t xml:space="preserve"> Roi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b)</w:t>
      </w:r>
      <w:r>
        <w:rPr>
          <w:rFonts w:ascii="Garamond" w:hAnsi="Garamond"/>
          <w:sz w:val="28"/>
          <w:szCs w:val="28"/>
        </w:rPr>
        <w:t xml:space="preserve"> Peuple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c)</w:t>
      </w:r>
      <w:r>
        <w:rPr>
          <w:rFonts w:ascii="Garamond" w:hAnsi="Garamond"/>
          <w:sz w:val="28"/>
          <w:szCs w:val="28"/>
        </w:rPr>
        <w:t xml:space="preserve"> Assemblées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République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a)</w:t>
      </w:r>
      <w:r>
        <w:rPr>
          <w:rFonts w:ascii="Garamond" w:hAnsi="Garamond"/>
          <w:sz w:val="28"/>
          <w:szCs w:val="28"/>
        </w:rPr>
        <w:t xml:space="preserve"> Magistrats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b)</w:t>
      </w:r>
      <w:r>
        <w:rPr>
          <w:rFonts w:ascii="Garamond" w:hAnsi="Garamond"/>
          <w:sz w:val="28"/>
          <w:szCs w:val="28"/>
        </w:rPr>
        <w:t xml:space="preserve"> Sénat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c)</w:t>
      </w:r>
      <w:r>
        <w:rPr>
          <w:rFonts w:ascii="Garamond" w:hAnsi="Garamond"/>
          <w:sz w:val="28"/>
          <w:szCs w:val="28"/>
        </w:rPr>
        <w:t xml:space="preserve"> Comices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C/</w:t>
      </w:r>
      <w:r>
        <w:rPr>
          <w:rFonts w:ascii="Garamond" w:hAnsi="Garamond"/>
          <w:sz w:val="28"/>
          <w:szCs w:val="28"/>
        </w:rPr>
        <w:t xml:space="preserve"> Empire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a)</w:t>
      </w:r>
      <w:r>
        <w:rPr>
          <w:rFonts w:ascii="Garamond" w:hAnsi="Garamond"/>
          <w:sz w:val="28"/>
          <w:szCs w:val="28"/>
        </w:rPr>
        <w:t xml:space="preserve"> Principat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Pr="00A047A5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a</w:t>
      </w:r>
      <w:r w:rsidR="0064467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i/>
          <w:sz w:val="28"/>
          <w:szCs w:val="28"/>
        </w:rPr>
        <w:t>Princeps</w:t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b</w:t>
      </w:r>
      <w:r w:rsidR="0064467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Institutions traditionnelles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g</w:t>
      </w:r>
      <w:r w:rsidR="0064467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Organes nouveaux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Garamond" w:hAnsi="Garamond"/>
          <w:sz w:val="28"/>
          <w:szCs w:val="28"/>
        </w:rPr>
        <w:t>b)</w:t>
      </w:r>
      <w:r>
        <w:rPr>
          <w:rFonts w:ascii="Garamond" w:hAnsi="Garamond"/>
          <w:sz w:val="28"/>
          <w:szCs w:val="28"/>
        </w:rPr>
        <w:t xml:space="preserve"> Haut Empire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a</w:t>
      </w:r>
      <w:r w:rsidR="0064467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Empereur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644670">
        <w:rPr>
          <w:rFonts w:ascii="Symbol" w:hAnsi="Symbol"/>
          <w:sz w:val="28"/>
          <w:szCs w:val="28"/>
        </w:rPr>
        <w:t>b</w:t>
      </w:r>
      <w:r w:rsidR="000D3B78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Administration centrale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c)</w:t>
      </w:r>
      <w:r>
        <w:rPr>
          <w:rFonts w:ascii="Garamond" w:hAnsi="Garamond"/>
          <w:sz w:val="28"/>
          <w:szCs w:val="28"/>
        </w:rPr>
        <w:t xml:space="preserve"> Bas Empire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Par. II :</w:t>
      </w:r>
      <w:r>
        <w:rPr>
          <w:rFonts w:ascii="Garamond" w:hAnsi="Garamond"/>
          <w:sz w:val="28"/>
          <w:szCs w:val="28"/>
        </w:rPr>
        <w:t xml:space="preserve"> Urbanisme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Services compétents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Législation d’urbanisme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C/</w:t>
      </w:r>
      <w:r>
        <w:rPr>
          <w:rFonts w:ascii="Garamond" w:hAnsi="Garamond"/>
          <w:sz w:val="28"/>
          <w:szCs w:val="28"/>
        </w:rPr>
        <w:t xml:space="preserve"> Expropriation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Pr="000D3B78" w:rsidRDefault="002A65AC" w:rsidP="002A65AC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ab/>
      </w:r>
      <w:r w:rsidR="000D3B78" w:rsidRPr="000D3B78">
        <w:rPr>
          <w:rFonts w:ascii="Garamond" w:hAnsi="Garamond"/>
          <w:b/>
          <w:bCs/>
          <w:sz w:val="28"/>
          <w:szCs w:val="28"/>
        </w:rPr>
        <w:t>Section</w:t>
      </w:r>
      <w:r w:rsidRPr="000D3B78">
        <w:rPr>
          <w:rFonts w:ascii="Garamond" w:hAnsi="Garamond"/>
          <w:b/>
          <w:bCs/>
          <w:sz w:val="28"/>
          <w:szCs w:val="28"/>
        </w:rPr>
        <w:t xml:space="preserve"> III : Rome et les Romains</w:t>
      </w:r>
      <w:r w:rsidRPr="000D3B78">
        <w:rPr>
          <w:rFonts w:ascii="Garamond" w:hAnsi="Garamond"/>
          <w:b/>
          <w:bCs/>
          <w:sz w:val="28"/>
          <w:szCs w:val="28"/>
        </w:rPr>
        <w:tab/>
      </w:r>
      <w:r w:rsidRPr="000D3B78">
        <w:rPr>
          <w:rFonts w:ascii="Garamond" w:hAnsi="Garamond"/>
          <w:b/>
          <w:bCs/>
          <w:sz w:val="28"/>
          <w:szCs w:val="28"/>
        </w:rPr>
        <w:tab/>
      </w:r>
      <w:r w:rsidRPr="000D3B78">
        <w:rPr>
          <w:rFonts w:ascii="Garamond" w:hAnsi="Garamond"/>
          <w:b/>
          <w:bCs/>
          <w:sz w:val="28"/>
          <w:szCs w:val="28"/>
        </w:rPr>
        <w:tab/>
      </w:r>
      <w:r w:rsidRPr="000D3B78">
        <w:rPr>
          <w:rFonts w:ascii="Garamond" w:hAnsi="Garamond"/>
          <w:b/>
          <w:bCs/>
          <w:sz w:val="28"/>
          <w:szCs w:val="28"/>
        </w:rPr>
        <w:tab/>
      </w:r>
      <w:r w:rsidRPr="000D3B78">
        <w:rPr>
          <w:rFonts w:ascii="Garamond" w:hAnsi="Garamond"/>
          <w:b/>
          <w:bCs/>
          <w:sz w:val="28"/>
          <w:szCs w:val="28"/>
        </w:rPr>
        <w:tab/>
      </w:r>
      <w:r w:rsidRPr="000D3B78">
        <w:rPr>
          <w:rFonts w:ascii="Garamond" w:hAnsi="Garamond"/>
          <w:b/>
          <w:bCs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Par. I :</w:t>
      </w:r>
      <w:r>
        <w:rPr>
          <w:rFonts w:ascii="Garamond" w:hAnsi="Garamond"/>
          <w:sz w:val="28"/>
          <w:szCs w:val="28"/>
        </w:rPr>
        <w:t xml:space="preserve"> Généralités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</w:t>
      </w:r>
      <w:r w:rsidR="000D3B78">
        <w:rPr>
          <w:rFonts w:ascii="Garamond" w:hAnsi="Garamond"/>
          <w:sz w:val="28"/>
          <w:szCs w:val="28"/>
        </w:rPr>
        <w:t>É</w:t>
      </w:r>
      <w:r>
        <w:rPr>
          <w:rFonts w:ascii="Garamond" w:hAnsi="Garamond"/>
          <w:sz w:val="28"/>
          <w:szCs w:val="28"/>
        </w:rPr>
        <w:t>tat d’esprit à Rome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B/</w:t>
      </w:r>
      <w:r>
        <w:rPr>
          <w:rFonts w:ascii="Garamond" w:hAnsi="Garamond"/>
          <w:sz w:val="28"/>
          <w:szCs w:val="28"/>
        </w:rPr>
        <w:t xml:space="preserve"> Limites de la croissance urbaine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Par. II :</w:t>
      </w:r>
      <w:r>
        <w:rPr>
          <w:rFonts w:ascii="Garamond" w:hAnsi="Garamond"/>
          <w:sz w:val="28"/>
          <w:szCs w:val="28"/>
        </w:rPr>
        <w:t xml:space="preserve"> Villes du Bas-Empire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A/</w:t>
      </w:r>
      <w:r>
        <w:rPr>
          <w:rFonts w:ascii="Garamond" w:hAnsi="Garamond"/>
          <w:sz w:val="28"/>
          <w:szCs w:val="28"/>
        </w:rPr>
        <w:t xml:space="preserve"> Aspect des villes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3A4061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D3B78">
        <w:rPr>
          <w:rFonts w:ascii="Garamond" w:hAnsi="Garamond"/>
          <w:sz w:val="28"/>
          <w:szCs w:val="28"/>
        </w:rPr>
        <w:t>B/</w:t>
      </w:r>
      <w:r w:rsidR="002A65AC">
        <w:rPr>
          <w:rFonts w:ascii="Garamond" w:hAnsi="Garamond"/>
          <w:sz w:val="28"/>
          <w:szCs w:val="28"/>
        </w:rPr>
        <w:t xml:space="preserve"> Vie en ville</w:t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  <w:r w:rsidR="002A65AC">
        <w:rPr>
          <w:rFonts w:ascii="Garamond" w:hAnsi="Garamond"/>
          <w:sz w:val="28"/>
          <w:szCs w:val="28"/>
        </w:rPr>
        <w:tab/>
      </w:r>
    </w:p>
    <w:p w:rsidR="002A65AC" w:rsidRPr="00F8013B" w:rsidRDefault="002A65AC" w:rsidP="002A65AC">
      <w:pPr>
        <w:jc w:val="both"/>
        <w:rPr>
          <w:rFonts w:ascii="Garamond" w:hAnsi="Garamond"/>
          <w:sz w:val="28"/>
          <w:szCs w:val="28"/>
        </w:rPr>
      </w:pP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both"/>
        <w:rPr>
          <w:rFonts w:ascii="Garamond" w:hAnsi="Garamond"/>
          <w:sz w:val="28"/>
          <w:szCs w:val="28"/>
        </w:rPr>
      </w:pPr>
    </w:p>
    <w:p w:rsidR="002A65AC" w:rsidRDefault="002A65AC" w:rsidP="002A65AC">
      <w:pPr>
        <w:jc w:val="both"/>
        <w:rPr>
          <w:rFonts w:ascii="Garamond" w:hAnsi="Garamond"/>
          <w:sz w:val="28"/>
        </w:rPr>
      </w:pPr>
      <w:r w:rsidRPr="00775C21">
        <w:rPr>
          <w:rFonts w:ascii="Garamond" w:hAnsi="Garamond"/>
          <w:sz w:val="28"/>
          <w:u w:val="single"/>
        </w:rPr>
        <w:t>Bibliographie</w:t>
      </w:r>
      <w:r w:rsidRPr="00775C21">
        <w:rPr>
          <w:rFonts w:ascii="Garamond" w:hAnsi="Garamond"/>
          <w:sz w:val="28"/>
        </w:rPr>
        <w:t> :</w:t>
      </w:r>
      <w:r w:rsidR="000D3B78">
        <w:rPr>
          <w:rFonts w:ascii="Garamond" w:hAnsi="Garamond"/>
          <w:sz w:val="28"/>
        </w:rPr>
        <w:t>  </w:t>
      </w:r>
    </w:p>
    <w:p w:rsidR="00413177" w:rsidRDefault="00413177" w:rsidP="002A65AC">
      <w:pPr>
        <w:jc w:val="both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Généralités</w:t>
      </w:r>
    </w:p>
    <w:p w:rsidR="00413177" w:rsidRPr="00413177" w:rsidRDefault="00413177" w:rsidP="00413177">
      <w:pPr>
        <w:jc w:val="both"/>
        <w:rPr>
          <w:rFonts w:ascii="Garamond" w:hAnsi="Garamond"/>
          <w:sz w:val="28"/>
          <w:szCs w:val="28"/>
        </w:rPr>
      </w:pPr>
      <w:r w:rsidRPr="00413177">
        <w:rPr>
          <w:rFonts w:ascii="Garamond" w:hAnsi="Garamond"/>
          <w:sz w:val="28"/>
          <w:szCs w:val="28"/>
        </w:rPr>
        <w:t xml:space="preserve">GAUDEMET Jean, </w:t>
      </w:r>
      <w:r w:rsidRPr="00413177">
        <w:rPr>
          <w:rFonts w:ascii="Garamond" w:hAnsi="Garamond"/>
          <w:i/>
          <w:sz w:val="28"/>
          <w:szCs w:val="28"/>
        </w:rPr>
        <w:t>Les institutions de l’Antiquité</w:t>
      </w:r>
      <w:r w:rsidRPr="00413177">
        <w:rPr>
          <w:rFonts w:ascii="Garamond" w:hAnsi="Garamond"/>
          <w:sz w:val="28"/>
          <w:szCs w:val="28"/>
        </w:rPr>
        <w:t>, Paris, Montchrestien, 1998 (5</w:t>
      </w:r>
      <w:r w:rsidRPr="00413177">
        <w:rPr>
          <w:rFonts w:ascii="Garamond" w:hAnsi="Garamond"/>
          <w:sz w:val="28"/>
          <w:szCs w:val="28"/>
          <w:vertAlign w:val="superscript"/>
        </w:rPr>
        <w:t>e</w:t>
      </w:r>
      <w:r w:rsidRPr="00413177">
        <w:rPr>
          <w:rFonts w:ascii="Garamond" w:hAnsi="Garamond"/>
          <w:sz w:val="28"/>
          <w:szCs w:val="28"/>
        </w:rPr>
        <w:t xml:space="preserve"> éd.), 507 p.</w:t>
      </w:r>
    </w:p>
    <w:p w:rsidR="00413177" w:rsidRPr="001E355F" w:rsidRDefault="00413177" w:rsidP="00413177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MUMFORD Lewis, </w:t>
      </w:r>
      <w:r>
        <w:rPr>
          <w:rFonts w:ascii="Garamond" w:hAnsi="Garamond"/>
          <w:i/>
          <w:sz w:val="28"/>
        </w:rPr>
        <w:t>La cité à travers l’histoire</w:t>
      </w:r>
      <w:r>
        <w:rPr>
          <w:rFonts w:ascii="Garamond" w:hAnsi="Garamond"/>
          <w:sz w:val="28"/>
        </w:rPr>
        <w:t xml:space="preserve">, Marseille, </w:t>
      </w:r>
      <w:proofErr w:type="spellStart"/>
      <w:r>
        <w:rPr>
          <w:rFonts w:ascii="Garamond" w:hAnsi="Garamond"/>
          <w:sz w:val="28"/>
        </w:rPr>
        <w:t>Agone</w:t>
      </w:r>
      <w:proofErr w:type="spellEnd"/>
      <w:r>
        <w:rPr>
          <w:rFonts w:ascii="Garamond" w:hAnsi="Garamond"/>
          <w:sz w:val="28"/>
        </w:rPr>
        <w:t>, 2011 (</w:t>
      </w:r>
      <w:proofErr w:type="spellStart"/>
      <w:r>
        <w:rPr>
          <w:rFonts w:ascii="Garamond" w:hAnsi="Garamond"/>
          <w:sz w:val="28"/>
        </w:rPr>
        <w:t>nouv</w:t>
      </w:r>
      <w:proofErr w:type="spellEnd"/>
      <w:r>
        <w:rPr>
          <w:rFonts w:ascii="Garamond" w:hAnsi="Garamond"/>
          <w:sz w:val="28"/>
        </w:rPr>
        <w:t>. éd.), XVIII + 922 p.</w:t>
      </w:r>
    </w:p>
    <w:p w:rsidR="000D3B78" w:rsidRDefault="000D3B78" w:rsidP="002A65AC">
      <w:pPr>
        <w:jc w:val="both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Orient ancien </w:t>
      </w:r>
    </w:p>
    <w:p w:rsidR="004A6C9B" w:rsidRPr="004A6C9B" w:rsidRDefault="000D3B78" w:rsidP="000D3B78">
      <w:pPr>
        <w:jc w:val="both"/>
        <w:rPr>
          <w:rFonts w:ascii="Garamond" w:eastAsia="Times New Roman" w:hAnsi="Garamond" w:cs="Times New Roman"/>
          <w:color w:val="000000"/>
          <w:sz w:val="28"/>
          <w:szCs w:val="28"/>
        </w:rPr>
      </w:pPr>
      <w:proofErr w:type="spellStart"/>
      <w:r w:rsidRPr="004A6C9B">
        <w:rPr>
          <w:rFonts w:ascii="Garamond" w:eastAsia="Times New Roman" w:hAnsi="Garamond" w:cs="Times New Roman"/>
          <w:smallCaps/>
          <w:color w:val="000000"/>
          <w:sz w:val="28"/>
          <w:szCs w:val="28"/>
        </w:rPr>
        <w:t>Butterlin</w:t>
      </w:r>
      <w:proofErr w:type="spellEnd"/>
      <w:r w:rsidRPr="000D3B78">
        <w:rPr>
          <w:rFonts w:ascii="Garamond" w:eastAsia="Times New Roman" w:hAnsi="Garamond" w:cs="Times New Roman"/>
          <w:color w:val="000000"/>
          <w:sz w:val="28"/>
          <w:szCs w:val="28"/>
        </w:rPr>
        <w:t xml:space="preserve"> Pascal, </w:t>
      </w:r>
      <w:r w:rsidRPr="000D3B78">
        <w:rPr>
          <w:rFonts w:ascii="Garamond" w:eastAsia="Times New Roman" w:hAnsi="Garamond" w:cs="Times New Roman"/>
          <w:i/>
          <w:iCs/>
          <w:color w:val="000000"/>
          <w:sz w:val="28"/>
          <w:szCs w:val="28"/>
        </w:rPr>
        <w:t>Les temps proto-urbains de Mésopotamie. Contacts et acculturation à l’époque d’Uruk au Moyen-Orient</w:t>
      </w:r>
      <w:r w:rsidRPr="000D3B78">
        <w:rPr>
          <w:rFonts w:ascii="Garamond" w:eastAsia="Times New Roman" w:hAnsi="Garamond" w:cs="Times New Roman"/>
          <w:color w:val="000000"/>
          <w:sz w:val="28"/>
          <w:szCs w:val="28"/>
        </w:rPr>
        <w:t xml:space="preserve">, </w:t>
      </w:r>
      <w:r w:rsidRPr="000D3B7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Paris, CNRS </w:t>
      </w:r>
      <w:proofErr w:type="spellStart"/>
      <w:r w:rsidRPr="000D3B7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éditions</w:t>
      </w:r>
      <w:proofErr w:type="spellEnd"/>
      <w:r w:rsidRPr="000D3B7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,</w:t>
      </w:r>
      <w:r w:rsidRPr="000D3B78">
        <w:rPr>
          <w:rFonts w:ascii="Garamond" w:eastAsia="Times New Roman" w:hAnsi="Garamond" w:cs="Times New Roman"/>
          <w:color w:val="000000"/>
          <w:sz w:val="28"/>
          <w:szCs w:val="28"/>
        </w:rPr>
        <w:t xml:space="preserve"> 2003, 467 p. + XXIV p.</w:t>
      </w:r>
      <w:r w:rsidRPr="000D3B7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br/>
      </w:r>
      <w:r w:rsidRPr="004A6C9B">
        <w:rPr>
          <w:rFonts w:ascii="Garamond" w:eastAsia="Times New Roman" w:hAnsi="Garamond" w:cs="Times New Roman"/>
          <w:smallCaps/>
          <w:color w:val="000000"/>
          <w:sz w:val="28"/>
          <w:szCs w:val="28"/>
          <w:lang w:val="en-US"/>
        </w:rPr>
        <w:t>Cowgill</w:t>
      </w:r>
      <w:r w:rsidRPr="000D3B7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G. L., </w:t>
      </w:r>
      <w:r w:rsidRPr="000D3B78">
        <w:rPr>
          <w:rFonts w:ascii="Garamond" w:hAnsi="Garamond"/>
          <w:sz w:val="28"/>
          <w:szCs w:val="28"/>
        </w:rPr>
        <w:t xml:space="preserve">« </w:t>
      </w:r>
      <w:r w:rsidRPr="000D3B7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Origins and Development of </w:t>
      </w:r>
      <w:proofErr w:type="gramStart"/>
      <w:r w:rsidRPr="000D3B7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Urbanism;</w:t>
      </w:r>
      <w:proofErr w:type="gramEnd"/>
      <w:r w:rsidRPr="000D3B78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Archaeological 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Perspectives </w:t>
      </w:r>
      <w:r w:rsidRPr="004A6C9B">
        <w:rPr>
          <w:rFonts w:ascii="Garamond" w:hAnsi="Garamond"/>
          <w:sz w:val="28"/>
          <w:szCs w:val="28"/>
        </w:rPr>
        <w:t>»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, </w:t>
      </w:r>
      <w:r w:rsidRPr="004A6C9B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val="en-US"/>
        </w:rPr>
        <w:t xml:space="preserve">Annual Review of Anthropology 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33, 2004, p. 525-549. 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br/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</w:rPr>
        <w:t>HUOT Jean-Louis, Les premiers villageois de Mésopotamie. Du village à la ville, Paris, Armand Colin, 1994, 223 p.</w:t>
      </w:r>
    </w:p>
    <w:p w:rsidR="000D3B78" w:rsidRDefault="000D3B78" w:rsidP="000D3B78">
      <w:pPr>
        <w:jc w:val="both"/>
        <w:rPr>
          <w:rFonts w:ascii="Garamond" w:eastAsia="Times New Roman" w:hAnsi="Garamond" w:cs="Times New Roman"/>
          <w:color w:val="000000"/>
          <w:sz w:val="28"/>
          <w:szCs w:val="28"/>
        </w:rPr>
      </w:pPr>
      <w:proofErr w:type="spellStart"/>
      <w:r w:rsidRPr="004A6C9B">
        <w:rPr>
          <w:rFonts w:ascii="Garamond" w:eastAsia="Times New Roman" w:hAnsi="Garamond" w:cs="Times New Roman"/>
          <w:smallCaps/>
          <w:color w:val="000000"/>
          <w:sz w:val="28"/>
          <w:szCs w:val="28"/>
          <w:lang w:val="en-US"/>
        </w:rPr>
        <w:t>Westenholz</w:t>
      </w:r>
      <w:proofErr w:type="spellEnd"/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A.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,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="004A6C9B" w:rsidRPr="004A6C9B">
        <w:rPr>
          <w:rFonts w:ascii="Garamond" w:hAnsi="Garamond"/>
          <w:sz w:val="28"/>
          <w:szCs w:val="28"/>
        </w:rPr>
        <w:t xml:space="preserve">« 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The Sumerian city-state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="004A6C9B" w:rsidRPr="004A6C9B">
        <w:rPr>
          <w:rFonts w:ascii="Garamond" w:hAnsi="Garamond"/>
          <w:sz w:val="28"/>
          <w:szCs w:val="28"/>
        </w:rPr>
        <w:t>»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,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In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,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6C9B">
        <w:rPr>
          <w:rFonts w:ascii="Garamond" w:eastAsia="Times New Roman" w:hAnsi="Garamond" w:cs="Times New Roman"/>
          <w:smallCaps/>
          <w:color w:val="000000"/>
          <w:sz w:val="28"/>
          <w:szCs w:val="28"/>
          <w:lang w:val="en-US"/>
        </w:rPr>
        <w:t>hansen</w:t>
      </w:r>
      <w:proofErr w:type="spellEnd"/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. 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H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. (ed.)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,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Pr="004A6C9B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val="en-US"/>
        </w:rPr>
        <w:t>A comparative study of six city-state cultures: an investigation conducted by the Copenhagen Polis Center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,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A6C9B">
        <w:rPr>
          <w:rFonts w:ascii="Garamond" w:eastAsia="Times New Roman" w:hAnsi="Garamond" w:cs="Times New Roman"/>
          <w:color w:val="000000"/>
          <w:sz w:val="28"/>
          <w:szCs w:val="28"/>
        </w:rPr>
        <w:t>Historisk-filosofiske</w:t>
      </w:r>
      <w:proofErr w:type="spellEnd"/>
      <w:r w:rsidRPr="004A6C9B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proofErr w:type="spellStart"/>
      <w:r w:rsidRPr="004A6C9B">
        <w:rPr>
          <w:rFonts w:ascii="Garamond" w:eastAsia="Times New Roman" w:hAnsi="Garamond" w:cs="Times New Roman"/>
          <w:color w:val="000000"/>
          <w:sz w:val="28"/>
          <w:szCs w:val="28"/>
        </w:rPr>
        <w:t>Skrifter</w:t>
      </w:r>
      <w:proofErr w:type="spellEnd"/>
      <w:r w:rsidRPr="004A6C9B">
        <w:rPr>
          <w:rFonts w:ascii="Garamond" w:eastAsia="Times New Roman" w:hAnsi="Garamond" w:cs="Times New Roman"/>
          <w:color w:val="000000"/>
          <w:sz w:val="28"/>
          <w:szCs w:val="28"/>
        </w:rPr>
        <w:t xml:space="preserve"> 27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</w:rPr>
        <w:t xml:space="preserve">, 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2002</w:t>
      </w:r>
      <w:r w:rsidR="004A6C9B" w:rsidRPr="004A6C9B">
        <w:rPr>
          <w:rFonts w:ascii="Garamond" w:eastAsia="Times New Roman" w:hAnsi="Garamond" w:cs="Times New Roman"/>
          <w:color w:val="000000"/>
          <w:sz w:val="28"/>
          <w:szCs w:val="28"/>
        </w:rPr>
        <w:t>, p.</w:t>
      </w:r>
      <w:r w:rsidRPr="004A6C9B">
        <w:rPr>
          <w:rFonts w:ascii="Garamond" w:eastAsia="Times New Roman" w:hAnsi="Garamond" w:cs="Times New Roman"/>
          <w:color w:val="000000"/>
          <w:sz w:val="28"/>
          <w:szCs w:val="28"/>
        </w:rPr>
        <w:t xml:space="preserve"> 23-42. </w:t>
      </w:r>
    </w:p>
    <w:p w:rsidR="007067A1" w:rsidRDefault="007067A1" w:rsidP="000D3B78">
      <w:pPr>
        <w:jc w:val="both"/>
        <w:rPr>
          <w:rFonts w:ascii="Garamond" w:eastAsia="Times New Roman" w:hAnsi="Garamond" w:cs="Times New Roman"/>
          <w:color w:val="000000"/>
          <w:sz w:val="28"/>
          <w:szCs w:val="28"/>
        </w:rPr>
      </w:pPr>
      <w:hyperlink r:id="rId4" w:history="1">
        <w:r w:rsidRPr="004971DF">
          <w:rPr>
            <w:rStyle w:val="Lienhypertexte"/>
            <w:rFonts w:ascii="Garamond" w:eastAsia="Times New Roman" w:hAnsi="Garamond" w:cs="Times New Roman"/>
            <w:sz w:val="28"/>
            <w:szCs w:val="28"/>
          </w:rPr>
          <w:t>https://ane.hypotheses.org</w:t>
        </w:r>
      </w:hyperlink>
      <w:r>
        <w:rPr>
          <w:rFonts w:ascii="Garamond" w:eastAsia="Times New Roman" w:hAnsi="Garamond" w:cs="Times New Roman"/>
          <w:color w:val="000000"/>
          <w:sz w:val="28"/>
          <w:szCs w:val="28"/>
        </w:rPr>
        <w:t> : bloc dédié au Proche-Orient ancien</w:t>
      </w:r>
    </w:p>
    <w:p w:rsidR="004A6C9B" w:rsidRDefault="004A6C9B" w:rsidP="000D3B78">
      <w:pPr>
        <w:jc w:val="both"/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Égypte</w:t>
      </w:r>
    </w:p>
    <w:p w:rsidR="007067A1" w:rsidRPr="007067A1" w:rsidRDefault="007067A1" w:rsidP="000D3B78">
      <w:pPr>
        <w:jc w:val="both"/>
        <w:rPr>
          <w:rFonts w:ascii="Garamond" w:eastAsia="Times New Roman" w:hAnsi="Garamond" w:cs="Times New Roman"/>
          <w:smallCaps/>
          <w:color w:val="000000"/>
          <w:sz w:val="28"/>
          <w:szCs w:val="28"/>
        </w:rPr>
      </w:pPr>
      <w:proofErr w:type="spellStart"/>
      <w:r w:rsidRPr="007067A1">
        <w:rPr>
          <w:rFonts w:ascii="Garamond" w:eastAsia="Times New Roman" w:hAnsi="Garamond" w:cs="Times New Roman"/>
          <w:smallCaps/>
          <w:color w:val="000000"/>
          <w:sz w:val="28"/>
          <w:szCs w:val="28"/>
        </w:rPr>
        <w:t>Grimal</w:t>
      </w:r>
      <w:proofErr w:type="spellEnd"/>
      <w:r w:rsidRPr="007067A1">
        <w:rPr>
          <w:rFonts w:ascii="Garamond" w:eastAsia="Times New Roman" w:hAnsi="Garamond" w:cs="Times New Roman"/>
          <w:smallCaps/>
          <w:color w:val="000000"/>
          <w:sz w:val="28"/>
          <w:szCs w:val="28"/>
        </w:rPr>
        <w:t xml:space="preserve"> </w:t>
      </w:r>
      <w:r w:rsidRPr="007067A1">
        <w:rPr>
          <w:rFonts w:ascii="Garamond" w:eastAsia="Times New Roman" w:hAnsi="Garamond" w:cs="Times New Roman"/>
          <w:color w:val="000000"/>
          <w:sz w:val="28"/>
          <w:szCs w:val="28"/>
        </w:rPr>
        <w:t>Nicolas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, </w:t>
      </w:r>
      <w:r>
        <w:rPr>
          <w:rFonts w:ascii="Garamond" w:eastAsia="Times New Roman" w:hAnsi="Garamond" w:cs="Times New Roman"/>
          <w:i/>
          <w:iCs/>
          <w:color w:val="000000"/>
          <w:sz w:val="28"/>
          <w:szCs w:val="28"/>
        </w:rPr>
        <w:t>Histoire de l’Égypte ancienne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>, Paris, Fayard, 1988, 593 p.</w:t>
      </w:r>
    </w:p>
    <w:p w:rsidR="004A6C9B" w:rsidRPr="004A6C9B" w:rsidRDefault="004A6C9B" w:rsidP="000D3B78">
      <w:pPr>
        <w:jc w:val="both"/>
        <w:rPr>
          <w:rFonts w:ascii="Garamond" w:eastAsia="Times New Roman" w:hAnsi="Garamond" w:cs="Times New Roman"/>
          <w:sz w:val="28"/>
          <w:szCs w:val="28"/>
        </w:rPr>
      </w:pPr>
      <w:proofErr w:type="spellStart"/>
      <w:r>
        <w:rPr>
          <w:rFonts w:ascii="Garamond" w:eastAsia="Times New Roman" w:hAnsi="Garamond" w:cs="Times New Roman"/>
          <w:smallCaps/>
          <w:color w:val="000000"/>
          <w:sz w:val="28"/>
          <w:szCs w:val="28"/>
        </w:rPr>
        <w:t>Pasquali</w:t>
      </w:r>
      <w:proofErr w:type="spellEnd"/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Stéphane, </w:t>
      </w:r>
      <w:r>
        <w:rPr>
          <w:rFonts w:ascii="Garamond" w:eastAsia="Times New Roman" w:hAnsi="Garamond" w:cs="Times New Roman"/>
          <w:i/>
          <w:iCs/>
          <w:color w:val="000000"/>
          <w:sz w:val="28"/>
          <w:szCs w:val="28"/>
        </w:rPr>
        <w:t>Introduction à l’</w:t>
      </w:r>
      <w:r w:rsidR="007067A1">
        <w:rPr>
          <w:rFonts w:ascii="Garamond" w:eastAsia="Times New Roman" w:hAnsi="Garamond" w:cs="Times New Roman"/>
          <w:i/>
          <w:iCs/>
          <w:color w:val="000000"/>
          <w:sz w:val="28"/>
          <w:szCs w:val="28"/>
        </w:rPr>
        <w:t>É</w:t>
      </w:r>
      <w:r>
        <w:rPr>
          <w:rFonts w:ascii="Garamond" w:eastAsia="Times New Roman" w:hAnsi="Garamond" w:cs="Times New Roman"/>
          <w:i/>
          <w:iCs/>
          <w:color w:val="000000"/>
          <w:sz w:val="28"/>
          <w:szCs w:val="28"/>
        </w:rPr>
        <w:t>gypte pharaonique. Bibliographie sélective</w:t>
      </w: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, </w:t>
      </w:r>
      <w:hyperlink r:id="rId5" w:history="1">
        <w:r w:rsidR="00413177" w:rsidRPr="00F8553E">
          <w:rPr>
            <w:rStyle w:val="Lienhypertexte"/>
            <w:rFonts w:ascii="Garamond" w:eastAsia="Times New Roman" w:hAnsi="Garamond" w:cs="Times New Roman"/>
            <w:sz w:val="28"/>
            <w:szCs w:val="28"/>
          </w:rPr>
          <w:t>https://www.academ</w:t>
        </w:r>
        <w:r w:rsidR="00413177" w:rsidRPr="00F8553E">
          <w:rPr>
            <w:rStyle w:val="Lienhypertexte"/>
            <w:rFonts w:ascii="Garamond" w:eastAsia="Times New Roman" w:hAnsi="Garamond" w:cs="Times New Roman"/>
            <w:sz w:val="28"/>
            <w:szCs w:val="28"/>
          </w:rPr>
          <w:t>i</w:t>
        </w:r>
        <w:r w:rsidR="00413177" w:rsidRPr="00F8553E">
          <w:rPr>
            <w:rStyle w:val="Lienhypertexte"/>
            <w:rFonts w:ascii="Garamond" w:eastAsia="Times New Roman" w:hAnsi="Garamond" w:cs="Times New Roman"/>
            <w:sz w:val="28"/>
            <w:szCs w:val="28"/>
          </w:rPr>
          <w:t>a.edu/4392562/Introduction_à_lEgypte_pharaonique_-_Bibliographie_sélective_Université_Paul-Valéry_Montpellier_3_</w:t>
        </w:r>
      </w:hyperlink>
      <w:r w:rsidR="004131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</w:p>
    <w:p w:rsidR="000D3B78" w:rsidRPr="000D3B78" w:rsidRDefault="00413177" w:rsidP="002A65AC">
      <w:pPr>
        <w:jc w:val="both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Grèce et Rome</w:t>
      </w:r>
    </w:p>
    <w:p w:rsidR="001E355F" w:rsidRDefault="00413177" w:rsidP="002A65AC">
      <w:pPr>
        <w:jc w:val="both"/>
        <w:rPr>
          <w:rFonts w:ascii="Garamond" w:hAnsi="Garamond"/>
          <w:sz w:val="28"/>
        </w:rPr>
      </w:pPr>
      <w:r w:rsidRPr="00775C21">
        <w:rPr>
          <w:rFonts w:ascii="Garamond" w:hAnsi="Garamond"/>
          <w:sz w:val="28"/>
        </w:rPr>
        <w:t xml:space="preserve">BOUINEAU </w:t>
      </w:r>
      <w:r w:rsidR="002A65AC" w:rsidRPr="00775C21">
        <w:rPr>
          <w:rFonts w:ascii="Garamond" w:hAnsi="Garamond"/>
          <w:sz w:val="28"/>
        </w:rPr>
        <w:t xml:space="preserve">Jacques, </w:t>
      </w:r>
      <w:r w:rsidR="002A65AC" w:rsidRPr="00775C21">
        <w:rPr>
          <w:rFonts w:ascii="Garamond" w:hAnsi="Garamond"/>
          <w:i/>
          <w:sz w:val="28"/>
        </w:rPr>
        <w:t>Traité d’histoire européenne des institutions (I</w:t>
      </w:r>
      <w:r w:rsidR="002A65AC" w:rsidRPr="00775C21">
        <w:rPr>
          <w:rFonts w:ascii="Garamond" w:hAnsi="Garamond"/>
          <w:i/>
          <w:sz w:val="28"/>
          <w:vertAlign w:val="superscript"/>
        </w:rPr>
        <w:t>er</w:t>
      </w:r>
      <w:r w:rsidR="002A65AC" w:rsidRPr="00775C21">
        <w:rPr>
          <w:rFonts w:ascii="Garamond" w:hAnsi="Garamond"/>
          <w:i/>
          <w:sz w:val="28"/>
        </w:rPr>
        <w:t>- XV</w:t>
      </w:r>
      <w:r w:rsidR="002A65AC" w:rsidRPr="00775C21">
        <w:rPr>
          <w:rFonts w:ascii="Garamond" w:hAnsi="Garamond"/>
          <w:i/>
          <w:sz w:val="28"/>
          <w:vertAlign w:val="superscript"/>
        </w:rPr>
        <w:t>e</w:t>
      </w:r>
      <w:r w:rsidR="002A65AC" w:rsidRPr="00775C21">
        <w:rPr>
          <w:rFonts w:ascii="Garamond" w:hAnsi="Garamond"/>
          <w:i/>
          <w:sz w:val="28"/>
        </w:rPr>
        <w:t xml:space="preserve"> siècle)</w:t>
      </w:r>
      <w:r w:rsidR="002A65AC" w:rsidRPr="00775C21">
        <w:rPr>
          <w:rFonts w:ascii="Garamond" w:hAnsi="Garamond"/>
          <w:sz w:val="28"/>
        </w:rPr>
        <w:t xml:space="preserve">, Paris, </w:t>
      </w:r>
      <w:proofErr w:type="spellStart"/>
      <w:r w:rsidR="002A65AC" w:rsidRPr="00775C21">
        <w:rPr>
          <w:rFonts w:ascii="Garamond" w:hAnsi="Garamond"/>
          <w:sz w:val="28"/>
        </w:rPr>
        <w:t>Litec</w:t>
      </w:r>
      <w:proofErr w:type="spellEnd"/>
      <w:r w:rsidR="002A65AC" w:rsidRPr="00775C21">
        <w:rPr>
          <w:rFonts w:ascii="Garamond" w:hAnsi="Garamond"/>
          <w:sz w:val="28"/>
        </w:rPr>
        <w:t>, 2004, XIV+696 p.</w:t>
      </w:r>
    </w:p>
    <w:p w:rsidR="00413177" w:rsidRPr="00413177" w:rsidRDefault="00413177" w:rsidP="00413177">
      <w:pPr>
        <w:jc w:val="both"/>
        <w:rPr>
          <w:rFonts w:ascii="Garamond" w:hAnsi="Garamond"/>
          <w:sz w:val="28"/>
          <w:szCs w:val="28"/>
        </w:rPr>
      </w:pPr>
      <w:r w:rsidRPr="00413177">
        <w:rPr>
          <w:rFonts w:ascii="Garamond" w:hAnsi="Garamond"/>
          <w:sz w:val="28"/>
          <w:szCs w:val="28"/>
        </w:rPr>
        <w:t xml:space="preserve">ELLUL Jacques, </w:t>
      </w:r>
      <w:r w:rsidRPr="00413177">
        <w:rPr>
          <w:rFonts w:ascii="Garamond" w:hAnsi="Garamond"/>
          <w:i/>
          <w:sz w:val="28"/>
          <w:szCs w:val="28"/>
        </w:rPr>
        <w:t>Histoire des institutions</w:t>
      </w:r>
      <w:r w:rsidRPr="00413177">
        <w:rPr>
          <w:rFonts w:ascii="Garamond" w:hAnsi="Garamond"/>
          <w:sz w:val="28"/>
          <w:szCs w:val="28"/>
        </w:rPr>
        <w:t xml:space="preserve"> (</w:t>
      </w:r>
      <w:r w:rsidRPr="00413177">
        <w:rPr>
          <w:rFonts w:ascii="Garamond" w:hAnsi="Garamond"/>
          <w:i/>
          <w:sz w:val="28"/>
          <w:szCs w:val="28"/>
        </w:rPr>
        <w:t>t. 1 : L’Antiquité</w:t>
      </w:r>
      <w:r w:rsidRPr="00413177">
        <w:rPr>
          <w:rFonts w:ascii="Garamond" w:hAnsi="Garamond"/>
          <w:sz w:val="28"/>
          <w:szCs w:val="28"/>
        </w:rPr>
        <w:t>), Paris, PUF, 2010 (</w:t>
      </w:r>
      <w:proofErr w:type="spellStart"/>
      <w:r w:rsidRPr="00413177">
        <w:rPr>
          <w:rFonts w:ascii="Garamond" w:hAnsi="Garamond"/>
          <w:sz w:val="28"/>
          <w:szCs w:val="28"/>
        </w:rPr>
        <w:t>Rééd</w:t>
      </w:r>
      <w:proofErr w:type="spellEnd"/>
      <w:r w:rsidRPr="00413177">
        <w:rPr>
          <w:rFonts w:ascii="Garamond" w:hAnsi="Garamond"/>
          <w:sz w:val="28"/>
          <w:szCs w:val="28"/>
        </w:rPr>
        <w:t>.), 629 p.</w:t>
      </w:r>
    </w:p>
    <w:p w:rsidR="00413177" w:rsidRPr="00413177" w:rsidRDefault="00413177" w:rsidP="00413177">
      <w:pPr>
        <w:jc w:val="both"/>
        <w:rPr>
          <w:rFonts w:ascii="Garamond" w:hAnsi="Garamond"/>
          <w:sz w:val="28"/>
          <w:szCs w:val="28"/>
        </w:rPr>
      </w:pPr>
      <w:r w:rsidRPr="00413177">
        <w:rPr>
          <w:rFonts w:ascii="Garamond" w:hAnsi="Garamond"/>
          <w:sz w:val="28"/>
          <w:szCs w:val="28"/>
        </w:rPr>
        <w:t xml:space="preserve">HUMBERT Michel, </w:t>
      </w:r>
      <w:r w:rsidRPr="00413177">
        <w:rPr>
          <w:rFonts w:ascii="Garamond" w:hAnsi="Garamond"/>
          <w:i/>
          <w:sz w:val="28"/>
          <w:szCs w:val="28"/>
        </w:rPr>
        <w:t>Institutions politiques et sociales de l’Antiquité</w:t>
      </w:r>
      <w:r w:rsidRPr="00413177">
        <w:rPr>
          <w:rFonts w:ascii="Garamond" w:hAnsi="Garamond"/>
          <w:sz w:val="28"/>
          <w:szCs w:val="28"/>
        </w:rPr>
        <w:t>, Paris, Dalloz, 2011 (10</w:t>
      </w:r>
      <w:r w:rsidRPr="00413177">
        <w:rPr>
          <w:rFonts w:ascii="Garamond" w:hAnsi="Garamond"/>
          <w:sz w:val="28"/>
          <w:szCs w:val="28"/>
          <w:vertAlign w:val="superscript"/>
        </w:rPr>
        <w:t>e</w:t>
      </w:r>
      <w:r w:rsidRPr="00413177">
        <w:rPr>
          <w:rFonts w:ascii="Garamond" w:hAnsi="Garamond"/>
          <w:sz w:val="28"/>
          <w:szCs w:val="28"/>
        </w:rPr>
        <w:t xml:space="preserve"> éd.), X+545 p.</w:t>
      </w:r>
    </w:p>
    <w:p w:rsidR="002A65AC" w:rsidRPr="00EB399D" w:rsidRDefault="002A65AC" w:rsidP="002A65AC">
      <w:pPr>
        <w:jc w:val="both"/>
        <w:rPr>
          <w:rFonts w:ascii="Garamond" w:hAnsi="Garamond"/>
          <w:sz w:val="28"/>
          <w:szCs w:val="28"/>
        </w:rPr>
      </w:pPr>
    </w:p>
    <w:p w:rsidR="002A65AC" w:rsidRPr="000C4E03" w:rsidRDefault="002A65AC" w:rsidP="002A65AC">
      <w:pPr>
        <w:jc w:val="both"/>
        <w:rPr>
          <w:rFonts w:ascii="Garamond" w:hAnsi="Garamond"/>
          <w:sz w:val="28"/>
          <w:szCs w:val="28"/>
        </w:rPr>
      </w:pPr>
    </w:p>
    <w:p w:rsidR="002A65AC" w:rsidRPr="004242CA" w:rsidRDefault="002A65AC" w:rsidP="002A65A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:rsidR="002A65AC" w:rsidRDefault="002A65AC" w:rsidP="002A65AC">
      <w:pPr>
        <w:jc w:val="center"/>
        <w:rPr>
          <w:rFonts w:ascii="Garamond" w:hAnsi="Garamond"/>
          <w:sz w:val="28"/>
          <w:szCs w:val="28"/>
        </w:rPr>
      </w:pPr>
    </w:p>
    <w:p w:rsidR="00A76400" w:rsidRDefault="00A76400"/>
    <w:sectPr w:rsidR="00A76400" w:rsidSect="00A764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5AC"/>
    <w:rsid w:val="000D3B78"/>
    <w:rsid w:val="001E355F"/>
    <w:rsid w:val="002A65AC"/>
    <w:rsid w:val="003A4061"/>
    <w:rsid w:val="003B064E"/>
    <w:rsid w:val="00413177"/>
    <w:rsid w:val="004A6C9B"/>
    <w:rsid w:val="00570223"/>
    <w:rsid w:val="00631D33"/>
    <w:rsid w:val="00644670"/>
    <w:rsid w:val="007067A1"/>
    <w:rsid w:val="00A676D8"/>
    <w:rsid w:val="00A76400"/>
    <w:rsid w:val="00D52810"/>
    <w:rsid w:val="00EB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AF773"/>
  <w15:docId w15:val="{DA1C8E5A-3807-EC47-99E5-5A6EF44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3F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317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1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6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392562/Introduction_&#224;_lEgypte_pharaonique_-_Bibliographie_s&#233;lective_Universit&#233;_Paul-Val&#233;ry_Montpellier_3_" TargetMode="External"/><Relationship Id="rId4" Type="http://schemas.openxmlformats.org/officeDocument/2006/relationships/hyperlink" Target="https://ane.hypotheses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Bouineau</dc:creator>
  <cp:keywords/>
  <dc:description/>
  <cp:lastModifiedBy>Microsoft Office User</cp:lastModifiedBy>
  <cp:revision>6</cp:revision>
  <cp:lastPrinted>2020-08-10T09:32:00Z</cp:lastPrinted>
  <dcterms:created xsi:type="dcterms:W3CDTF">2019-07-04T15:30:00Z</dcterms:created>
  <dcterms:modified xsi:type="dcterms:W3CDTF">2020-08-10T09:32:00Z</dcterms:modified>
</cp:coreProperties>
</file>